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3D5A4F1-5724-4350-80B3-DD7B0721E875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